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E2683" w14:textId="42CA3B7E" w:rsidR="00404321" w:rsidRDefault="004A51A6">
      <w:pPr>
        <w:pStyle w:val="Heading1"/>
        <w:rPr>
          <w:rFonts w:eastAsia="Times New Roman"/>
        </w:rPr>
      </w:pPr>
      <w:r>
        <w:rPr>
          <w:rFonts w:eastAsia="Times New Roman"/>
        </w:rPr>
        <w:t>202</w:t>
      </w:r>
      <w:r w:rsidR="00295EED">
        <w:rPr>
          <w:rFonts w:eastAsia="Times New Roman"/>
        </w:rPr>
        <w:t>4</w:t>
      </w:r>
      <w:r>
        <w:rPr>
          <w:rFonts w:eastAsia="Times New Roman"/>
        </w:rPr>
        <w:t xml:space="preserve"> </w:t>
      </w:r>
      <w:r w:rsidR="0020388E">
        <w:rPr>
          <w:rFonts w:eastAsia="Times New Roman"/>
        </w:rPr>
        <w:t>USAS Calendar Year End Checklist</w:t>
      </w:r>
    </w:p>
    <w:p w14:paraId="5C483E7D" w14:textId="77777777" w:rsidR="00404321" w:rsidRDefault="0020388E">
      <w:pPr>
        <w:pStyle w:val="Heading1"/>
        <w:rPr>
          <w:rFonts w:eastAsia="Times New Roman"/>
        </w:rPr>
      </w:pPr>
      <w:r>
        <w:rPr>
          <w:rStyle w:val="Emphasis"/>
          <w:rFonts w:eastAsia="Times New Roman"/>
          <w:u w:val="single"/>
        </w:rPr>
        <w:t>Pre-Closing Procedures</w:t>
      </w:r>
    </w:p>
    <w:p w14:paraId="5A922583" w14:textId="77777777" w:rsidR="00404321" w:rsidRDefault="0020388E">
      <w:pPr>
        <w:pStyle w:val="NormalWeb"/>
      </w:pPr>
      <w:r>
        <w:rPr>
          <w:rStyle w:val="legacy-color-text-blue4"/>
          <w:b/>
          <w:bCs/>
        </w:rPr>
        <w:t>The following pre-closing procedures can be completed any time prior to closing the calendar year</w:t>
      </w:r>
      <w:r>
        <w:rPr>
          <w:rStyle w:val="Strong"/>
        </w:rPr>
        <w:t>.</w:t>
      </w:r>
    </w:p>
    <w:p w14:paraId="33B60635" w14:textId="77777777" w:rsidR="00404321" w:rsidRPr="00295EED" w:rsidRDefault="0020388E">
      <w:pPr>
        <w:numPr>
          <w:ilvl w:val="0"/>
          <w:numId w:val="1"/>
        </w:numPr>
        <w:spacing w:before="100" w:beforeAutospacing="1" w:after="100" w:afterAutospacing="1"/>
        <w:rPr>
          <w:rFonts w:eastAsia="Times New Roman"/>
          <w:b/>
          <w:bCs/>
        </w:rPr>
      </w:pPr>
      <w:r>
        <w:rPr>
          <w:rStyle w:val="legacy-color-text-default"/>
          <w:rFonts w:eastAsia="Times New Roman"/>
        </w:rPr>
        <w:t> </w:t>
      </w:r>
      <w:r w:rsidRPr="00295EED">
        <w:rPr>
          <w:rStyle w:val="legacy-color-text-default"/>
          <w:rFonts w:eastAsia="Times New Roman"/>
          <w:b/>
          <w:bCs/>
        </w:rPr>
        <w:t>Review Vendors that qualify to receive 1099s and verify their relevant 1099 information.</w:t>
      </w:r>
      <w:r w:rsidRPr="00295EED">
        <w:rPr>
          <w:rFonts w:eastAsia="Times New Roman"/>
          <w:b/>
          <w:bCs/>
        </w:rPr>
        <w:t xml:space="preserve"> </w:t>
      </w:r>
    </w:p>
    <w:p w14:paraId="6918DD24" w14:textId="77777777" w:rsidR="004A51A6" w:rsidRDefault="0020388E" w:rsidP="00764805">
      <w:pPr>
        <w:pStyle w:val="auto-cursor-target"/>
        <w:numPr>
          <w:ilvl w:val="1"/>
          <w:numId w:val="1"/>
        </w:numPr>
        <w:divId w:val="1353915990"/>
        <w:rPr>
          <w:rStyle w:val="legacy-color-text-default"/>
        </w:rPr>
      </w:pPr>
      <w:r>
        <w:rPr>
          <w:rStyle w:val="legacy-color-text-default"/>
        </w:rPr>
        <w:t xml:space="preserve">Use the Vendors grid to query Vendors with </w:t>
      </w:r>
      <w:proofErr w:type="gramStart"/>
      <w:r>
        <w:rPr>
          <w:rStyle w:val="legacy-color-text-default"/>
        </w:rPr>
        <w:t>a 1099 Type</w:t>
      </w:r>
      <w:proofErr w:type="gramEnd"/>
      <w:r>
        <w:rPr>
          <w:rStyle w:val="legacy-color-text-default"/>
        </w:rPr>
        <w:t xml:space="preserve"> and qualifying YTD Taxable Total.</w:t>
      </w:r>
    </w:p>
    <w:p w14:paraId="79E8AFA0" w14:textId="77777777" w:rsidR="00404321" w:rsidRDefault="0020388E" w:rsidP="00980F4B">
      <w:pPr>
        <w:pStyle w:val="auto-cursor-target"/>
        <w:numPr>
          <w:ilvl w:val="1"/>
          <w:numId w:val="1"/>
        </w:numPr>
        <w:divId w:val="1353915990"/>
      </w:pPr>
      <w:r>
        <w:t xml:space="preserve">In the Vendors grid, add the 'Type 1099', 'Tax ID Type', 'ID #" and 'YTD Taxable Total' columns to the grid.  Under 'Type 1099' filter by </w:t>
      </w:r>
      <w:r w:rsidRPr="004A51A6">
        <w:rPr>
          <w:rStyle w:val="legacy-color-text-blue4"/>
          <w:b/>
          <w:bCs/>
        </w:rPr>
        <w:t xml:space="preserve">&lt;&gt; non 1099 </w:t>
      </w:r>
      <w:r>
        <w:t>to query all 1099 vendors. You can then use the YTD Total to filter on amounts (i.e. &gt;=600). You can also save your filtered grid by using the 'REPORT' button.</w:t>
      </w:r>
    </w:p>
    <w:p w14:paraId="6EA68F7F" w14:textId="569FE631" w:rsidR="004A51A6" w:rsidRDefault="0020388E" w:rsidP="004A51A6">
      <w:pPr>
        <w:pStyle w:val="auto-cursor-target"/>
        <w:numPr>
          <w:ilvl w:val="1"/>
          <w:numId w:val="1"/>
        </w:numPr>
        <w:rPr>
          <w:rStyle w:val="legacy-color-text-default"/>
        </w:rPr>
      </w:pPr>
      <w:r>
        <w:rPr>
          <w:rStyle w:val="legacy-color-text-default"/>
        </w:rPr>
        <w:t>Review the Tax ID Type and I</w:t>
      </w:r>
      <w:r w:rsidR="00295EED">
        <w:rPr>
          <w:rStyle w:val="legacy-color-text-default"/>
        </w:rPr>
        <w:t>D</w:t>
      </w:r>
      <w:r>
        <w:rPr>
          <w:rStyle w:val="legacy-color-text-default"/>
        </w:rPr>
        <w:t xml:space="preserve"># (SSN or EIN) for all 1099 vendors to make sure </w:t>
      </w:r>
      <w:r w:rsidR="004A51A6">
        <w:rPr>
          <w:rStyle w:val="legacy-color-text-default"/>
        </w:rPr>
        <w:t>they are correct and identified</w:t>
      </w:r>
    </w:p>
    <w:p w14:paraId="06DBFD71" w14:textId="43E5C451" w:rsidR="00404321" w:rsidRDefault="0020388E" w:rsidP="004A51A6">
      <w:pPr>
        <w:pStyle w:val="auto-cursor-target"/>
      </w:pPr>
      <w:r w:rsidRPr="004A51A6">
        <w:rPr>
          <w:rStyle w:val="legacy-color-text-default"/>
          <w:b/>
        </w:rPr>
        <w:t>If Vendors do not have a Tax ID Type or I</w:t>
      </w:r>
      <w:r w:rsidR="00295EED">
        <w:rPr>
          <w:rStyle w:val="legacy-color-text-default"/>
          <w:b/>
        </w:rPr>
        <w:t>D</w:t>
      </w:r>
      <w:r w:rsidRPr="004A51A6">
        <w:rPr>
          <w:rStyle w:val="legacy-color-text-default"/>
          <w:b/>
        </w:rPr>
        <w:t xml:space="preserve">#, update the vendor record to include this </w:t>
      </w:r>
      <w:r w:rsidR="004A51A6" w:rsidRPr="004A51A6">
        <w:rPr>
          <w:rStyle w:val="legacy-color-text-default"/>
          <w:b/>
        </w:rPr>
        <w:t>in</w:t>
      </w:r>
      <w:r w:rsidRPr="004A51A6">
        <w:rPr>
          <w:rStyle w:val="legacy-color-text-default"/>
          <w:b/>
        </w:rPr>
        <w:t>formation</w:t>
      </w:r>
      <w:r>
        <w:rPr>
          <w:rStyle w:val="legacy-color-text-default"/>
        </w:rPr>
        <w:t>.</w:t>
      </w:r>
    </w:p>
    <w:p w14:paraId="409686BB" w14:textId="77777777" w:rsidR="00404321" w:rsidRDefault="0020388E">
      <w:pPr>
        <w:numPr>
          <w:ilvl w:val="0"/>
          <w:numId w:val="2"/>
        </w:numPr>
        <w:spacing w:before="100" w:beforeAutospacing="1" w:after="100" w:afterAutospacing="1"/>
        <w:rPr>
          <w:rFonts w:eastAsia="Times New Roman"/>
        </w:rPr>
      </w:pPr>
      <w:r>
        <w:rPr>
          <w:rFonts w:eastAsia="Times New Roman"/>
        </w:rPr>
        <w:t xml:space="preserve">Review Vendors that may qualify for the YTD taxable total but are </w:t>
      </w:r>
      <w:r>
        <w:rPr>
          <w:rStyle w:val="Emphasis"/>
          <w:rFonts w:eastAsia="Times New Roman"/>
          <w:u w:val="single"/>
        </w:rPr>
        <w:t>not</w:t>
      </w:r>
      <w:r>
        <w:rPr>
          <w:rFonts w:eastAsia="Times New Roman"/>
        </w:rPr>
        <w:t xml:space="preserve"> marked to receive a 1099.</w:t>
      </w:r>
    </w:p>
    <w:p w14:paraId="69BB93FD" w14:textId="77777777" w:rsidR="00404321" w:rsidRDefault="0020388E" w:rsidP="004A51A6">
      <w:pPr>
        <w:pStyle w:val="NormalWeb"/>
        <w:numPr>
          <w:ilvl w:val="0"/>
          <w:numId w:val="2"/>
        </w:numPr>
        <w:spacing w:after="240" w:afterAutospacing="0"/>
      </w:pPr>
      <w:r>
        <w:t>Use the Vendors grid to query Vendors with a Tax Type of Non 1099 and YTD &gt;= $600.</w:t>
      </w:r>
    </w:p>
    <w:p w14:paraId="5C294BDE" w14:textId="77777777" w:rsidR="00404321" w:rsidRDefault="0020388E">
      <w:pPr>
        <w:pStyle w:val="NormalWeb"/>
        <w:divId w:val="1581594159"/>
      </w:pPr>
      <w:r>
        <w:t>In the Vendors grid, add the 'Type 1099', 'Tax ID Type', 'ID #" and 'YTD Taxable Total' columns to the grid.  Under 'Type 1099' filter by </w:t>
      </w:r>
      <w:r>
        <w:rPr>
          <w:rStyle w:val="legacy-color-text-blue4"/>
          <w:b/>
          <w:bCs/>
        </w:rPr>
        <w:t>non 1099 </w:t>
      </w:r>
      <w:r>
        <w:t>to query all</w:t>
      </w:r>
      <w:r>
        <w:rPr>
          <w:rStyle w:val="Emphasis"/>
        </w:rPr>
        <w:t xml:space="preserve"> non-1099</w:t>
      </w:r>
      <w:r>
        <w:t xml:space="preserve"> vendors to verify these vendors should not receive a 1099. You can then use the YTD Total to filter on amounts </w:t>
      </w:r>
      <w:r w:rsidR="005044E6">
        <w:t xml:space="preserve">   </w:t>
      </w:r>
      <w:r>
        <w:t>(i.e. &gt;=600). You can also save your filtered grid by using the 'REPORT' button.</w:t>
      </w:r>
    </w:p>
    <w:p w14:paraId="37506043" w14:textId="77777777" w:rsidR="00404321" w:rsidRPr="00980F4B" w:rsidRDefault="0020388E" w:rsidP="00980F4B">
      <w:pPr>
        <w:pStyle w:val="NormalWeb"/>
        <w:rPr>
          <w:b/>
        </w:rPr>
      </w:pPr>
      <w:r w:rsidRPr="00980F4B">
        <w:rPr>
          <w:b/>
        </w:rPr>
        <w:t xml:space="preserve">If Vendors are marked as "Non 1099" but </w:t>
      </w:r>
      <w:r w:rsidRPr="00980F4B">
        <w:rPr>
          <w:rStyle w:val="Emphasis"/>
          <w:b/>
        </w:rPr>
        <w:t>should be</w:t>
      </w:r>
      <w:r w:rsidRPr="00980F4B">
        <w:rPr>
          <w:b/>
        </w:rPr>
        <w:t xml:space="preserve"> receiving a 1099, update the Vendor's Type 1099 field, Tax ID Type, and Tax ID # and verify the Name and Address marked as the 1099 Location.</w:t>
      </w:r>
    </w:p>
    <w:p w14:paraId="2189B14D" w14:textId="77777777" w:rsidR="00404321" w:rsidRPr="00295EED" w:rsidRDefault="0020388E">
      <w:pPr>
        <w:divId w:val="1576626007"/>
        <w:rPr>
          <w:rFonts w:eastAsia="Times New Roman"/>
          <w:b/>
          <w:bCs/>
          <w:i/>
          <w:iCs/>
        </w:rPr>
      </w:pPr>
      <w:r w:rsidRPr="00295EED">
        <w:rPr>
          <w:rFonts w:eastAsia="Times New Roman"/>
          <w:b/>
          <w:bCs/>
          <w:i/>
          <w:iCs/>
        </w:rPr>
        <w:t xml:space="preserve">NOTE: Error for Excessive Query may be received when Districts have a large number of vendors and only a few filters are utilized on the Vendor's grid.  In this case, more filters can be added to the grid, Advance Query may be used or information can be reviewed by pulling a partially filtered grid to a Report with the type Excel-Data and then filtering on the remaining columns in the spreadsheet. </w:t>
      </w:r>
    </w:p>
    <w:p w14:paraId="3A638AF9" w14:textId="77777777" w:rsidR="00404321" w:rsidRDefault="0020388E">
      <w:pPr>
        <w:numPr>
          <w:ilvl w:val="0"/>
          <w:numId w:val="3"/>
        </w:numPr>
        <w:spacing w:before="100" w:beforeAutospacing="1" w:after="240"/>
        <w:rPr>
          <w:rFonts w:eastAsia="Times New Roman"/>
        </w:rPr>
      </w:pPr>
      <w:r>
        <w:rPr>
          <w:rFonts w:eastAsia="Times New Roman"/>
        </w:rPr>
        <w:t>Review Vendor's Locations.  Run the SSDT 1099 Vendor Report to check 1099 data in order to ensure 1099 names, 1099 Vendor Location addresses, ID # and amounts are correct.   By default, the report includes all 1099 types.  You have the ability to include all 1099 types regardless of YTD amounts or those meeting the IRS requirement.  You may also customize the report for specified 1099 Types (i.e. royalty payments).           </w:t>
      </w:r>
    </w:p>
    <w:p w14:paraId="17D74E8C" w14:textId="77777777" w:rsidR="00404321" w:rsidRDefault="0020388E">
      <w:pPr>
        <w:pStyle w:val="auto-cursor-target"/>
        <w:numPr>
          <w:ilvl w:val="0"/>
          <w:numId w:val="3"/>
        </w:numPr>
      </w:pPr>
      <w:r>
        <w:t>The Vendor Name and Address used for 1099 reporting is based on the Vendor Location with the 1099 check box marked on the Vendor record. To update the 1099 address, modify the location or change the 1099 check mark to use a different location address.</w:t>
      </w:r>
    </w:p>
    <w:p w14:paraId="39ED0D67" w14:textId="77777777" w:rsidR="00980F4B" w:rsidRDefault="0020388E">
      <w:pPr>
        <w:numPr>
          <w:ilvl w:val="0"/>
          <w:numId w:val="3"/>
        </w:numPr>
        <w:spacing w:before="100" w:beforeAutospacing="1" w:after="100" w:afterAutospacing="1"/>
        <w:rPr>
          <w:rFonts w:eastAsia="Times New Roman"/>
        </w:rPr>
      </w:pPr>
      <w:r>
        <w:rPr>
          <w:rFonts w:eastAsia="Times New Roman"/>
        </w:rPr>
        <w:t>If needed, enter Vendor Adjustments to correct YTD Taxable Total amounts on the vendor record.  These vendor adjustments may be needed in cases where you have a Prior Year voided check, Royalties to add, or to combine to like vendors se</w:t>
      </w:r>
      <w:r w:rsidR="00980F4B">
        <w:rPr>
          <w:rFonts w:eastAsia="Times New Roman"/>
        </w:rPr>
        <w:t>t up individually in error.  </w:t>
      </w:r>
    </w:p>
    <w:p w14:paraId="5627F944" w14:textId="77777777" w:rsidR="00980F4B" w:rsidRDefault="0020388E" w:rsidP="00980F4B">
      <w:pPr>
        <w:spacing w:before="100" w:beforeAutospacing="1" w:after="100" w:afterAutospacing="1"/>
        <w:rPr>
          <w:rFonts w:eastAsia="Times New Roman"/>
          <w:b/>
        </w:rPr>
      </w:pPr>
      <w:r w:rsidRPr="00980F4B">
        <w:rPr>
          <w:rFonts w:eastAsia="Times New Roman"/>
          <w:b/>
        </w:rPr>
        <w:t>If the YTD Taxable Total needs to be updated for a vendor, the Vendor Adjustments option can be used to modify the YTD Taxable Total and YTD Total fields.  The Vendor Adjustments option ca</w:t>
      </w:r>
      <w:r w:rsidR="004E7970">
        <w:rPr>
          <w:rFonts w:eastAsia="Times New Roman"/>
          <w:b/>
        </w:rPr>
        <w:t>n be found by clicking the View</w:t>
      </w:r>
      <w:r w:rsidRPr="00980F4B">
        <w:rPr>
          <w:rFonts w:eastAsia="Times New Roman"/>
          <w:b/>
        </w:rPr>
        <w:t xml:space="preserve"> icon</w:t>
      </w:r>
      <w:r w:rsidRPr="00980F4B">
        <w:rPr>
          <w:rFonts w:eastAsia="Times New Roman"/>
          <w:b/>
          <w:noProof/>
        </w:rPr>
        <w:drawing>
          <wp:inline distT="0" distB="0" distL="0" distR="0" wp14:anchorId="3BED05A4" wp14:editId="0EFE2851">
            <wp:extent cx="355600" cy="203200"/>
            <wp:effectExtent l="0" t="0" r="6350" b="6350"/>
            <wp:docPr id="1" name="Picture 1" descr="C:\e6ce468a2194315c77de3abbb06d2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6ce468a2194315c77de3abbb06d22d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600" cy="203200"/>
                    </a:xfrm>
                    <a:prstGeom prst="rect">
                      <a:avLst/>
                    </a:prstGeom>
                    <a:noFill/>
                    <a:ln>
                      <a:noFill/>
                    </a:ln>
                  </pic:spPr>
                </pic:pic>
              </a:graphicData>
            </a:graphic>
          </wp:inline>
        </w:drawing>
      </w:r>
      <w:r w:rsidRPr="00980F4B">
        <w:rPr>
          <w:rFonts w:eastAsia="Times New Roman"/>
          <w:b/>
        </w:rPr>
        <w:t xml:space="preserve"> on the Vendor. </w:t>
      </w:r>
      <w:r w:rsidR="00980F4B">
        <w:rPr>
          <w:rFonts w:eastAsia="Times New Roman"/>
          <w:b/>
        </w:rPr>
        <w:t xml:space="preserve">           </w:t>
      </w:r>
    </w:p>
    <w:p w14:paraId="56927F2B" w14:textId="77777777" w:rsidR="00980F4B" w:rsidRDefault="0020388E" w:rsidP="00980F4B">
      <w:pPr>
        <w:spacing w:before="100" w:beforeAutospacing="1" w:after="100" w:afterAutospacing="1"/>
        <w:rPr>
          <w:rFonts w:eastAsia="Times New Roman"/>
          <w:b/>
        </w:rPr>
      </w:pPr>
      <w:r w:rsidRPr="00980F4B">
        <w:rPr>
          <w:rFonts w:eastAsia="Times New Roman"/>
          <w:b/>
        </w:rPr>
        <w:t>The amount can be entered as positive or negative to increase or decrease the totals.  </w:t>
      </w:r>
    </w:p>
    <w:p w14:paraId="4D2569D0" w14:textId="77777777" w:rsidR="00404321" w:rsidRPr="00980F4B" w:rsidRDefault="0020388E" w:rsidP="00980F4B">
      <w:pPr>
        <w:spacing w:before="100" w:beforeAutospacing="1" w:after="100" w:afterAutospacing="1"/>
        <w:rPr>
          <w:rFonts w:eastAsia="Times New Roman"/>
          <w:b/>
        </w:rPr>
      </w:pPr>
      <w:r w:rsidRPr="00980F4B">
        <w:rPr>
          <w:rFonts w:eastAsia="Times New Roman"/>
          <w:b/>
        </w:rPr>
        <w:t>Make sure the</w:t>
      </w:r>
      <w:r w:rsidRPr="00980F4B">
        <w:rPr>
          <w:rFonts w:eastAsia="Times New Roman"/>
        </w:rPr>
        <w:t xml:space="preserve"> </w:t>
      </w:r>
      <w:r w:rsidRPr="00980F4B">
        <w:rPr>
          <w:rStyle w:val="Strong"/>
          <w:rFonts w:eastAsia="Times New Roman"/>
          <w:color w:val="FF0000"/>
        </w:rPr>
        <w:t>'Taxable'</w:t>
      </w:r>
      <w:r w:rsidRPr="00980F4B">
        <w:rPr>
          <w:rStyle w:val="Strong"/>
          <w:rFonts w:eastAsia="Times New Roman"/>
        </w:rPr>
        <w:t xml:space="preserve"> </w:t>
      </w:r>
      <w:r w:rsidRPr="00980F4B">
        <w:rPr>
          <w:rFonts w:eastAsia="Times New Roman"/>
          <w:b/>
        </w:rPr>
        <w:t>check box is marked in order</w:t>
      </w:r>
      <w:r w:rsidRPr="00980F4B">
        <w:rPr>
          <w:rFonts w:eastAsia="Times New Roman"/>
        </w:rPr>
        <w:t xml:space="preserve"> </w:t>
      </w:r>
      <w:r w:rsidRPr="00980F4B">
        <w:rPr>
          <w:rStyle w:val="Strong"/>
          <w:rFonts w:eastAsia="Times New Roman"/>
          <w:color w:val="FF0000"/>
        </w:rPr>
        <w:t>to update the YTD Taxable Total</w:t>
      </w:r>
      <w:r w:rsidR="00980F4B" w:rsidRPr="00980F4B">
        <w:rPr>
          <w:rStyle w:val="Strong"/>
          <w:rFonts w:eastAsia="Times New Roman"/>
          <w:b w:val="0"/>
        </w:rPr>
        <w:t>. </w:t>
      </w:r>
      <w:r w:rsidRPr="00980F4B">
        <w:rPr>
          <w:rFonts w:eastAsia="Times New Roman"/>
          <w:b/>
        </w:rPr>
        <w:t xml:space="preserve">  For more information see the </w:t>
      </w:r>
      <w:hyperlink r:id="rId6" w:anchor="Vendors-VendorAdjustments" w:history="1">
        <w:r w:rsidRPr="00980F4B">
          <w:rPr>
            <w:rStyle w:val="Hyperlink"/>
            <w:rFonts w:eastAsia="Times New Roman"/>
            <w:b/>
          </w:rPr>
          <w:t>Vendor Adjustments section</w:t>
        </w:r>
      </w:hyperlink>
      <w:r w:rsidRPr="00980F4B">
        <w:rPr>
          <w:rFonts w:eastAsia="Times New Roman"/>
          <w:b/>
        </w:rPr>
        <w:t xml:space="preserve"> on the Vendors page.</w:t>
      </w:r>
    </w:p>
    <w:p w14:paraId="2F593E8F" w14:textId="77777777" w:rsidR="00404321" w:rsidRDefault="00404321">
      <w:pPr>
        <w:pStyle w:val="NormalWeb"/>
      </w:pPr>
    </w:p>
    <w:p w14:paraId="0DC1C04E" w14:textId="77777777" w:rsidR="00404321" w:rsidRDefault="0020388E">
      <w:pPr>
        <w:pStyle w:val="NormalWeb"/>
      </w:pPr>
      <w:r>
        <w:rPr>
          <w:rStyle w:val="Emphasis"/>
          <w:sz w:val="36"/>
          <w:szCs w:val="36"/>
          <w:u w:val="single"/>
        </w:rPr>
        <w:t xml:space="preserve">Month-End </w:t>
      </w:r>
      <w:r w:rsidR="00BE4F52">
        <w:rPr>
          <w:rStyle w:val="Emphasis"/>
          <w:sz w:val="36"/>
          <w:szCs w:val="36"/>
          <w:u w:val="single"/>
        </w:rPr>
        <w:t>Balancing</w:t>
      </w:r>
    </w:p>
    <w:p w14:paraId="5CFB2755" w14:textId="77777777" w:rsidR="00404321" w:rsidRDefault="0020388E">
      <w:pPr>
        <w:numPr>
          <w:ilvl w:val="0"/>
          <w:numId w:val="4"/>
        </w:numPr>
        <w:spacing w:before="100" w:beforeAutospacing="1" w:after="100" w:afterAutospacing="1"/>
        <w:rPr>
          <w:rFonts w:eastAsia="Times New Roman"/>
        </w:rPr>
      </w:pPr>
      <w:r>
        <w:rPr>
          <w:rFonts w:eastAsia="Times New Roman"/>
        </w:rPr>
        <w:t>Enter all transactions for the current month.</w:t>
      </w:r>
    </w:p>
    <w:p w14:paraId="2A20CE28" w14:textId="77777777" w:rsidR="00404321" w:rsidRDefault="0020388E">
      <w:pPr>
        <w:numPr>
          <w:ilvl w:val="0"/>
          <w:numId w:val="4"/>
        </w:numPr>
        <w:spacing w:before="100" w:beforeAutospacing="1" w:after="100" w:afterAutospacing="1"/>
        <w:rPr>
          <w:rFonts w:eastAsia="Times New Roman"/>
        </w:rPr>
      </w:pPr>
      <w:r>
        <w:rPr>
          <w:rFonts w:eastAsia="Times New Roman"/>
        </w:rPr>
        <w:t>Attempt to reconcile USAS records with your bank(s)</w:t>
      </w:r>
    </w:p>
    <w:p w14:paraId="4791AC0C" w14:textId="77777777" w:rsidR="00404321" w:rsidRDefault="0020388E">
      <w:pPr>
        <w:pStyle w:val="NormalWeb"/>
        <w:numPr>
          <w:ilvl w:val="1"/>
          <w:numId w:val="5"/>
        </w:numPr>
      </w:pPr>
      <w:r>
        <w:rPr>
          <w:rStyle w:val="legacy-color-text-default"/>
        </w:rPr>
        <w:t>Perform </w:t>
      </w:r>
      <w:hyperlink r:id="rId7" w:anchor="USAS-RMonthendBalancingChecklist-reconcile" w:history="1">
        <w:r>
          <w:rPr>
            <w:rStyle w:val="Hyperlink"/>
          </w:rPr>
          <w:t>bank reconciliation procedure</w:t>
        </w:r>
      </w:hyperlink>
      <w:r>
        <w:rPr>
          <w:rStyle w:val="legacy-color-text-default"/>
        </w:rPr>
        <w:t>.</w:t>
      </w:r>
    </w:p>
    <w:p w14:paraId="3A822831" w14:textId="4F4ECD80" w:rsidR="00404321" w:rsidRDefault="0020388E">
      <w:pPr>
        <w:pStyle w:val="NormalWeb"/>
        <w:numPr>
          <w:ilvl w:val="1"/>
          <w:numId w:val="5"/>
        </w:numPr>
      </w:pPr>
      <w:r>
        <w:rPr>
          <w:rStyle w:val="legacy-color-text-default"/>
        </w:rPr>
        <w:t>Under the Periodic menu, select 'Cash Reconciliation' to enter your cash reconciliation information for the month.</w:t>
      </w:r>
    </w:p>
    <w:p w14:paraId="2E4CC5DB" w14:textId="77777777" w:rsidR="00404321" w:rsidRDefault="0020388E">
      <w:pPr>
        <w:numPr>
          <w:ilvl w:val="0"/>
          <w:numId w:val="6"/>
        </w:numPr>
        <w:spacing w:before="100" w:beforeAutospacing="1" w:after="100" w:afterAutospacing="1"/>
        <w:rPr>
          <w:rFonts w:eastAsia="Times New Roman"/>
        </w:rPr>
      </w:pPr>
      <w:r>
        <w:rPr>
          <w:rStyle w:val="legacy-color-text-default"/>
          <w:rFonts w:eastAsia="Times New Roman"/>
        </w:rPr>
        <w:t>Generate the '</w:t>
      </w:r>
      <w:r>
        <w:rPr>
          <w:rStyle w:val="Strong"/>
          <w:rFonts w:eastAsia="Times New Roman"/>
        </w:rPr>
        <w:t>SSDT Cash Summary</w:t>
      </w:r>
      <w:r>
        <w:rPr>
          <w:rStyle w:val="legacy-color-text-default"/>
          <w:rFonts w:eastAsia="Times New Roman"/>
        </w:rPr>
        <w:t>' report and the '</w:t>
      </w:r>
      <w:r>
        <w:rPr>
          <w:rStyle w:val="Strong"/>
          <w:rFonts w:eastAsia="Times New Roman"/>
        </w:rPr>
        <w:t>SSDT Financial Detail Report</w:t>
      </w:r>
      <w:r>
        <w:rPr>
          <w:rStyle w:val="legacy-color-text-default"/>
          <w:rFonts w:eastAsia="Times New Roman"/>
        </w:rPr>
        <w:t>'.</w:t>
      </w:r>
    </w:p>
    <w:p w14:paraId="524F252B" w14:textId="77777777" w:rsidR="00404321" w:rsidRDefault="0020388E" w:rsidP="00980F4B">
      <w:pPr>
        <w:pStyle w:val="NormalWeb"/>
        <w:numPr>
          <w:ilvl w:val="1"/>
          <w:numId w:val="6"/>
        </w:numPr>
      </w:pPr>
      <w:r>
        <w:rPr>
          <w:rStyle w:val="legacy-color-text-default"/>
        </w:rPr>
        <w:t>The Financial Detail Report may be run for the month only to compare MTD totals to the Cash Summary Report.</w:t>
      </w:r>
    </w:p>
    <w:p w14:paraId="4151CED1" w14:textId="77777777" w:rsidR="00980F4B" w:rsidRDefault="0020388E" w:rsidP="00980F4B">
      <w:pPr>
        <w:pStyle w:val="NormalWeb"/>
        <w:numPr>
          <w:ilvl w:val="1"/>
          <w:numId w:val="6"/>
        </w:numPr>
      </w:pPr>
      <w:r>
        <w:rPr>
          <w:rStyle w:val="legacy-color-text-default"/>
        </w:rPr>
        <w:t>Compare the totals from reports... they should be identical.</w:t>
      </w:r>
    </w:p>
    <w:p w14:paraId="7A780CDA" w14:textId="5B0AB9C3" w:rsidR="00404321" w:rsidRDefault="0020388E" w:rsidP="00980F4B">
      <w:pPr>
        <w:pStyle w:val="NormalWeb"/>
        <w:jc w:val="center"/>
        <w:rPr>
          <w:rStyle w:val="legacy-color-text-default"/>
          <w:b/>
          <w:color w:val="0000FF"/>
          <w:sz w:val="28"/>
          <w:szCs w:val="28"/>
        </w:rPr>
      </w:pPr>
      <w:r w:rsidRPr="009E4E2B">
        <w:rPr>
          <w:rStyle w:val="legacy-color-text-default"/>
          <w:b/>
          <w:color w:val="0000FF"/>
          <w:sz w:val="28"/>
          <w:szCs w:val="28"/>
        </w:rPr>
        <w:t>If all above steps are performed and totals all agree, you are in balance and may proceed with the next step</w:t>
      </w:r>
    </w:p>
    <w:p w14:paraId="45854D73" w14:textId="2F487F0B" w:rsidR="000F1AD2" w:rsidRPr="009E4E2B" w:rsidRDefault="000F1AD2" w:rsidP="00980F4B">
      <w:pPr>
        <w:pStyle w:val="NormalWeb"/>
        <w:jc w:val="center"/>
        <w:rPr>
          <w:b/>
          <w:color w:val="0000FF"/>
          <w:sz w:val="28"/>
          <w:szCs w:val="28"/>
        </w:rPr>
      </w:pPr>
      <w:r>
        <w:rPr>
          <w:rStyle w:val="legacy-color-text-default"/>
          <w:b/>
          <w:color w:val="0000FF"/>
          <w:sz w:val="28"/>
          <w:szCs w:val="28"/>
        </w:rPr>
        <w:t>*Do not yet close December *</w:t>
      </w:r>
    </w:p>
    <w:p w14:paraId="110CF242" w14:textId="6A1B513E" w:rsidR="00404321" w:rsidRPr="00BE4F52" w:rsidRDefault="0020388E">
      <w:pPr>
        <w:pStyle w:val="NormalWeb"/>
        <w:rPr>
          <w:sz w:val="36"/>
          <w:szCs w:val="36"/>
        </w:rPr>
      </w:pPr>
      <w:r w:rsidRPr="00BE4F52">
        <w:rPr>
          <w:rStyle w:val="Emphasis"/>
          <w:sz w:val="36"/>
          <w:szCs w:val="36"/>
          <w:u w:val="single"/>
        </w:rPr>
        <w:t xml:space="preserve">Calendar Year-End </w:t>
      </w:r>
      <w:r w:rsidR="000F1AD2">
        <w:rPr>
          <w:rStyle w:val="Emphasis"/>
          <w:sz w:val="36"/>
          <w:szCs w:val="36"/>
          <w:u w:val="single"/>
        </w:rPr>
        <w:t>Preparation</w:t>
      </w:r>
    </w:p>
    <w:p w14:paraId="4275EFC6" w14:textId="77777777" w:rsidR="000F1AD2" w:rsidRPr="000F1AD2" w:rsidRDefault="000F1AD2" w:rsidP="000F1AD2">
      <w:pPr>
        <w:pStyle w:val="ListParagraph"/>
        <w:numPr>
          <w:ilvl w:val="0"/>
          <w:numId w:val="8"/>
        </w:numPr>
        <w:spacing w:before="100" w:beforeAutospacing="1" w:after="100" w:afterAutospacing="1"/>
        <w:rPr>
          <w:rFonts w:eastAsia="Times New Roman"/>
        </w:rPr>
      </w:pPr>
      <w:r w:rsidRPr="000F1AD2">
        <w:rPr>
          <w:rFonts w:eastAsia="Times New Roman"/>
          <w:b/>
          <w:bCs/>
          <w:i/>
          <w:iCs/>
        </w:rPr>
        <w:t>IMPORTANT NOTE, COMPLETE PRIOR TO CLOSING</w:t>
      </w:r>
      <w:r w:rsidRPr="000F1AD2">
        <w:rPr>
          <w:rFonts w:eastAsia="Times New Roman"/>
        </w:rPr>
        <w:t xml:space="preserve"> </w:t>
      </w:r>
    </w:p>
    <w:p w14:paraId="38B695C2" w14:textId="7951232D" w:rsidR="00404321" w:rsidRDefault="0020388E">
      <w:pPr>
        <w:numPr>
          <w:ilvl w:val="0"/>
          <w:numId w:val="8"/>
        </w:numPr>
        <w:spacing w:before="100" w:beforeAutospacing="1" w:after="100" w:afterAutospacing="1"/>
        <w:rPr>
          <w:rFonts w:eastAsia="Times New Roman"/>
        </w:rPr>
      </w:pPr>
      <w:r>
        <w:rPr>
          <w:rFonts w:eastAsia="Times New Roman"/>
        </w:rPr>
        <w:t xml:space="preserve">Generate any additional Calendar Year End Reports desired.   For a list of what Calendar End reports are included when the Posting Period is closed, please click </w:t>
      </w:r>
      <w:hyperlink r:id="rId8" w:history="1">
        <w:r>
          <w:rPr>
            <w:rStyle w:val="Hyperlink"/>
            <w:rFonts w:eastAsia="Times New Roman"/>
          </w:rPr>
          <w:t>here</w:t>
        </w:r>
      </w:hyperlink>
      <w:r>
        <w:rPr>
          <w:rFonts w:eastAsia="Times New Roman"/>
        </w:rPr>
        <w:t xml:space="preserve">. </w:t>
      </w:r>
    </w:p>
    <w:p w14:paraId="21B78EDF" w14:textId="77777777" w:rsidR="00CD38F9" w:rsidRDefault="00CD38F9" w:rsidP="00CD38F9">
      <w:pPr>
        <w:numPr>
          <w:ilvl w:val="0"/>
          <w:numId w:val="8"/>
        </w:numPr>
        <w:spacing w:before="100" w:beforeAutospacing="1" w:after="100" w:afterAutospacing="1"/>
        <w:rPr>
          <w:rStyle w:val="legacy-color-text-default"/>
          <w:rFonts w:eastAsia="Times New Roman"/>
        </w:rPr>
      </w:pPr>
      <w:r>
        <w:rPr>
          <w:rStyle w:val="Emphasis"/>
          <w:rFonts w:eastAsia="Times New Roman"/>
        </w:rPr>
        <w:t>Optional Steps: </w:t>
      </w:r>
      <w:r>
        <w:rPr>
          <w:rStyle w:val="legacy-color-text-default"/>
          <w:rFonts w:eastAsia="Times New Roman"/>
        </w:rPr>
        <w:t xml:space="preserve"> </w:t>
      </w:r>
    </w:p>
    <w:p w14:paraId="115958A7" w14:textId="2BAAC208" w:rsidR="00CD38F9" w:rsidRDefault="00CD38F9" w:rsidP="00CD38F9">
      <w:pPr>
        <w:pStyle w:val="auto-cursor-target"/>
        <w:numPr>
          <w:ilvl w:val="1"/>
          <w:numId w:val="8"/>
        </w:numPr>
        <w:rPr>
          <w:rStyle w:val="legacy-color-text-default"/>
        </w:rPr>
      </w:pPr>
      <w:r>
        <w:rPr>
          <w:rStyle w:val="legacy-color-text-default"/>
        </w:rPr>
        <w:t>Manually generate any additional reports.</w:t>
      </w:r>
    </w:p>
    <w:p w14:paraId="15D3F9C8" w14:textId="77777777" w:rsidR="00CD38F9" w:rsidRDefault="00CD38F9" w:rsidP="00CD38F9">
      <w:pPr>
        <w:pStyle w:val="NormalWeb"/>
        <w:numPr>
          <w:ilvl w:val="1"/>
          <w:numId w:val="8"/>
        </w:numPr>
        <w:rPr>
          <w:rStyle w:val="Hyperlink"/>
          <w:rFonts w:eastAsia="Times New Roman"/>
        </w:rPr>
      </w:pPr>
      <w:r>
        <w:rPr>
          <w:rStyle w:val="legacy-color-text-default"/>
        </w:rPr>
        <w:t xml:space="preserve">The Monthly Reports Archive found under the </w:t>
      </w:r>
      <w:r>
        <w:rPr>
          <w:rFonts w:eastAsia="Times New Roman"/>
        </w:rPr>
        <w:t xml:space="preserve">Utilities&gt;File Archive menu will automatically generate when the Posting Period is closed.  The Monthly Reports bundle includes 27 SSDT Template reports which a list of included reports can be found </w:t>
      </w:r>
      <w:hyperlink r:id="rId9" w:anchor="ReportBundles-MonthlyReportsIncluded" w:history="1">
        <w:r>
          <w:rPr>
            <w:rStyle w:val="Hyperlink"/>
            <w:rFonts w:eastAsia="Times New Roman"/>
          </w:rPr>
          <w:t>here</w:t>
        </w:r>
      </w:hyperlink>
    </w:p>
    <w:p w14:paraId="19F0C832" w14:textId="002227E1" w:rsidR="00CD38F9" w:rsidRPr="00CD38F9" w:rsidRDefault="00CD38F9" w:rsidP="00A1073E">
      <w:pPr>
        <w:pStyle w:val="auto-cursor-target"/>
        <w:numPr>
          <w:ilvl w:val="1"/>
          <w:numId w:val="8"/>
        </w:numPr>
        <w:rPr>
          <w:rStyle w:val="legacy-color-text-default"/>
          <w:rFonts w:eastAsia="Times New Roman"/>
        </w:rPr>
      </w:pPr>
      <w:r w:rsidRPr="00CD38F9">
        <w:rPr>
          <w:rStyle w:val="legacy-color-text-default"/>
          <w:rFonts w:eastAsia="Times New Roman"/>
        </w:rPr>
        <w:t>Run a '</w:t>
      </w:r>
      <w:r w:rsidRPr="00CD38F9">
        <w:rPr>
          <w:rStyle w:val="Strong"/>
          <w:rFonts w:eastAsia="Times New Roman"/>
        </w:rPr>
        <w:t>Spending Plan Summary</w:t>
      </w:r>
      <w:r w:rsidRPr="00CD38F9">
        <w:rPr>
          <w:rStyle w:val="legacy-color-text-default"/>
          <w:rFonts w:eastAsia="Times New Roman"/>
        </w:rPr>
        <w:t>' report.</w:t>
      </w:r>
    </w:p>
    <w:p w14:paraId="453CEF12" w14:textId="77777777" w:rsidR="00CD38F9" w:rsidRPr="000F1AD2" w:rsidRDefault="00CD38F9" w:rsidP="00CD38F9">
      <w:pPr>
        <w:pStyle w:val="ListParagraph"/>
        <w:numPr>
          <w:ilvl w:val="1"/>
          <w:numId w:val="8"/>
        </w:numPr>
        <w:spacing w:before="100" w:beforeAutospacing="1" w:after="100" w:afterAutospacing="1"/>
        <w:rPr>
          <w:rFonts w:eastAsia="Times New Roman"/>
        </w:rPr>
      </w:pPr>
      <w:r w:rsidRPr="000F1AD2">
        <w:rPr>
          <w:rFonts w:eastAsia="Times New Roman"/>
        </w:rPr>
        <w:t xml:space="preserve">The </w:t>
      </w:r>
      <w:hyperlink r:id="rId10" w:history="1">
        <w:r w:rsidRPr="000F1AD2">
          <w:rPr>
            <w:rStyle w:val="Hyperlink"/>
            <w:rFonts w:eastAsia="Times New Roman"/>
          </w:rPr>
          <w:t>Proration Utility</w:t>
        </w:r>
      </w:hyperlink>
      <w:r w:rsidRPr="000F1AD2">
        <w:rPr>
          <w:rFonts w:eastAsia="Times New Roman"/>
        </w:rPr>
        <w:t xml:space="preserve"> can be used to assist in calculating prorated amounts for an expenditure.  For example, this can be used to prorate an invoice amount against the wage accounts, used to map against the benefit accounts and to be used to import/create a Purchase Order.   (</w:t>
      </w:r>
      <w:proofErr w:type="gramStart"/>
      <w:r w:rsidRPr="000F1AD2">
        <w:rPr>
          <w:rFonts w:eastAsia="Times New Roman"/>
        </w:rPr>
        <w:t>i.e.</w:t>
      </w:r>
      <w:proofErr w:type="gramEnd"/>
      <w:r w:rsidRPr="000F1AD2">
        <w:rPr>
          <w:rFonts w:eastAsia="Times New Roman"/>
        </w:rPr>
        <w:t xml:space="preserve"> Worker's Comp or insurance costs)   </w:t>
      </w:r>
    </w:p>
    <w:p w14:paraId="4F9C0DC4" w14:textId="6F51D730" w:rsidR="00404321" w:rsidRPr="00CD38F9" w:rsidRDefault="00CD38F9" w:rsidP="000F1AD2">
      <w:pPr>
        <w:spacing w:before="100" w:beforeAutospacing="1" w:after="100" w:afterAutospacing="1"/>
        <w:rPr>
          <w:rFonts w:eastAsia="Times New Roman"/>
          <w:i/>
          <w:iCs/>
          <w:sz w:val="36"/>
          <w:szCs w:val="36"/>
          <w:u w:val="single"/>
        </w:rPr>
      </w:pPr>
      <w:bookmarkStart w:id="0" w:name="_Hlk184199375"/>
      <w:r w:rsidRPr="00CD38F9">
        <w:rPr>
          <w:rFonts w:eastAsia="Times New Roman"/>
          <w:i/>
          <w:iCs/>
          <w:sz w:val="36"/>
          <w:szCs w:val="36"/>
          <w:u w:val="single"/>
        </w:rPr>
        <w:t>1099 Extract Program</w:t>
      </w:r>
    </w:p>
    <w:bookmarkEnd w:id="0"/>
    <w:p w14:paraId="30C8ED53" w14:textId="77777777" w:rsidR="00D108F2" w:rsidRDefault="0020388E">
      <w:pPr>
        <w:numPr>
          <w:ilvl w:val="0"/>
          <w:numId w:val="8"/>
        </w:numPr>
        <w:spacing w:before="100" w:beforeAutospacing="1" w:after="100" w:afterAutospacing="1"/>
        <w:rPr>
          <w:rFonts w:eastAsia="Times New Roman"/>
        </w:rPr>
      </w:pPr>
      <w:r>
        <w:rPr>
          <w:rFonts w:eastAsia="Times New Roman"/>
        </w:rPr>
        <w:t xml:space="preserve">Under Periodic, run the 1099 Extracts program to generate the 1099 Extract Options.  </w:t>
      </w:r>
    </w:p>
    <w:p w14:paraId="274549D1" w14:textId="77777777" w:rsidR="00404321" w:rsidRDefault="0020388E" w:rsidP="00D108F2">
      <w:pPr>
        <w:numPr>
          <w:ilvl w:val="1"/>
          <w:numId w:val="8"/>
        </w:numPr>
        <w:spacing w:before="100" w:beforeAutospacing="1" w:after="100" w:afterAutospacing="1"/>
        <w:rPr>
          <w:rFonts w:eastAsia="Times New Roman"/>
        </w:rPr>
      </w:pPr>
      <w:r>
        <w:rPr>
          <w:rFonts w:eastAsia="Times New Roman"/>
        </w:rPr>
        <w:t xml:space="preserve">Copies of the output files generated will be sent to the File Archive &gt; Calendar Year Reports Archive. </w:t>
      </w:r>
    </w:p>
    <w:p w14:paraId="282DA767" w14:textId="66B021BC" w:rsidR="00404321" w:rsidRDefault="0020388E">
      <w:pPr>
        <w:numPr>
          <w:ilvl w:val="1"/>
          <w:numId w:val="8"/>
        </w:numPr>
        <w:spacing w:before="100" w:beforeAutospacing="1" w:after="100" w:afterAutospacing="1"/>
        <w:rPr>
          <w:rFonts w:eastAsia="Times New Roman"/>
        </w:rPr>
      </w:pPr>
      <w:r>
        <w:rPr>
          <w:rFonts w:eastAsia="Times New Roman"/>
        </w:rPr>
        <w:t xml:space="preserve">Select </w:t>
      </w:r>
      <w:r>
        <w:rPr>
          <w:rStyle w:val="Strong"/>
          <w:rFonts w:eastAsia="Times New Roman"/>
        </w:rPr>
        <w:t>202</w:t>
      </w:r>
      <w:r w:rsidR="00295EED">
        <w:rPr>
          <w:rStyle w:val="Strong"/>
          <w:rFonts w:eastAsia="Times New Roman"/>
        </w:rPr>
        <w:t>4</w:t>
      </w:r>
      <w:r>
        <w:rPr>
          <w:rStyle w:val="Strong"/>
          <w:rFonts w:eastAsia="Times New Roman"/>
        </w:rPr>
        <w:t> </w:t>
      </w:r>
      <w:r>
        <w:rPr>
          <w:rFonts w:eastAsia="Times New Roman"/>
        </w:rPr>
        <w:t>as the Payment Year to pull the correct YTD information.</w:t>
      </w:r>
    </w:p>
    <w:p w14:paraId="7A7BD10A" w14:textId="77777777" w:rsidR="00404321" w:rsidRDefault="0020388E">
      <w:pPr>
        <w:numPr>
          <w:ilvl w:val="1"/>
          <w:numId w:val="8"/>
        </w:numPr>
        <w:spacing w:before="100" w:beforeAutospacing="1" w:after="100" w:afterAutospacing="1"/>
        <w:rPr>
          <w:rFonts w:eastAsia="Times New Roman"/>
        </w:rPr>
      </w:pPr>
      <w:r>
        <w:rPr>
          <w:rStyle w:val="Strong"/>
          <w:rFonts w:eastAsia="Times New Roman"/>
        </w:rPr>
        <w:t>Select Type of Return(s)</w:t>
      </w:r>
      <w:r>
        <w:rPr>
          <w:rFonts w:eastAsia="Times New Roman"/>
        </w:rPr>
        <w:t xml:space="preserve"> - check one </w:t>
      </w:r>
      <w:r w:rsidR="00D108F2">
        <w:rPr>
          <w:rFonts w:eastAsia="Times New Roman"/>
        </w:rPr>
        <w:t>and run files, then select other and run files</w:t>
      </w:r>
    </w:p>
    <w:p w14:paraId="7B0F566E" w14:textId="77777777" w:rsidR="00404321" w:rsidRDefault="0020388E">
      <w:pPr>
        <w:numPr>
          <w:ilvl w:val="2"/>
          <w:numId w:val="8"/>
        </w:numPr>
        <w:spacing w:before="100" w:beforeAutospacing="1" w:after="100" w:afterAutospacing="1"/>
        <w:rPr>
          <w:rFonts w:eastAsia="Times New Roman"/>
        </w:rPr>
      </w:pPr>
      <w:r>
        <w:rPr>
          <w:rFonts w:eastAsia="Times New Roman"/>
        </w:rPr>
        <w:t>1099-NEC</w:t>
      </w:r>
    </w:p>
    <w:p w14:paraId="1673A616" w14:textId="77777777" w:rsidR="00404321" w:rsidRDefault="0020388E">
      <w:pPr>
        <w:numPr>
          <w:ilvl w:val="2"/>
          <w:numId w:val="8"/>
        </w:numPr>
        <w:spacing w:before="100" w:beforeAutospacing="1" w:after="100" w:afterAutospacing="1"/>
        <w:rPr>
          <w:rFonts w:eastAsia="Times New Roman"/>
        </w:rPr>
      </w:pPr>
      <w:r>
        <w:rPr>
          <w:rFonts w:eastAsia="Times New Roman"/>
        </w:rPr>
        <w:t>1099-MISC</w:t>
      </w:r>
    </w:p>
    <w:p w14:paraId="6DB751A9" w14:textId="14516DE9" w:rsidR="00404321" w:rsidRDefault="00D108F2">
      <w:pPr>
        <w:numPr>
          <w:ilvl w:val="1"/>
          <w:numId w:val="8"/>
        </w:numPr>
        <w:spacing w:before="100" w:beforeAutospacing="1" w:after="100" w:afterAutospacing="1"/>
        <w:rPr>
          <w:rFonts w:eastAsia="Times New Roman"/>
        </w:rPr>
      </w:pPr>
      <w:r>
        <w:rPr>
          <w:rFonts w:eastAsia="Times New Roman"/>
        </w:rPr>
        <w:t xml:space="preserve">Run </w:t>
      </w:r>
      <w:r w:rsidR="00295EED" w:rsidRPr="00295EED">
        <w:rPr>
          <w:rFonts w:eastAsia="Times New Roman"/>
          <w:b/>
          <w:bCs/>
        </w:rPr>
        <w:t>EACH</w:t>
      </w:r>
      <w:r>
        <w:rPr>
          <w:rFonts w:eastAsia="Times New Roman"/>
        </w:rPr>
        <w:t xml:space="preserve"> of the</w:t>
      </w:r>
      <w:r w:rsidR="0020388E">
        <w:rPr>
          <w:rFonts w:eastAsia="Times New Roman"/>
        </w:rPr>
        <w:t xml:space="preserve"> </w:t>
      </w:r>
      <w:r w:rsidR="0020388E">
        <w:rPr>
          <w:rStyle w:val="Strong"/>
          <w:rFonts w:eastAsia="Times New Roman"/>
        </w:rPr>
        <w:t>Output File Type</w:t>
      </w:r>
      <w:r>
        <w:rPr>
          <w:rStyle w:val="Strong"/>
          <w:rFonts w:eastAsia="Times New Roman"/>
        </w:rPr>
        <w:t>s</w:t>
      </w:r>
      <w:r w:rsidR="0020388E">
        <w:rPr>
          <w:rFonts w:eastAsia="Times New Roman"/>
        </w:rPr>
        <w:t xml:space="preserve">:  </w:t>
      </w:r>
    </w:p>
    <w:p w14:paraId="2CC4BF06" w14:textId="05E6EE24" w:rsidR="00404321" w:rsidRDefault="0020388E">
      <w:pPr>
        <w:numPr>
          <w:ilvl w:val="2"/>
          <w:numId w:val="8"/>
        </w:numPr>
        <w:spacing w:before="100" w:beforeAutospacing="1" w:after="100" w:afterAutospacing="1"/>
        <w:rPr>
          <w:rFonts w:eastAsia="Times New Roman"/>
        </w:rPr>
      </w:pPr>
      <w:r>
        <w:rPr>
          <w:rStyle w:val="Strong"/>
          <w:rFonts w:eastAsia="Times New Roman"/>
        </w:rPr>
        <w:t>XML</w:t>
      </w:r>
      <w:r>
        <w:rPr>
          <w:rFonts w:eastAsia="Times New Roman"/>
        </w:rPr>
        <w:t xml:space="preserve"> Format is the output file to be used when printing 1099s </w:t>
      </w:r>
      <w:r w:rsidR="00295EED">
        <w:rPr>
          <w:rFonts w:eastAsia="Times New Roman"/>
        </w:rPr>
        <w:t>by ACCESS</w:t>
      </w:r>
      <w:r>
        <w:rPr>
          <w:rFonts w:eastAsia="Times New Roman"/>
        </w:rPr>
        <w:t>.</w:t>
      </w:r>
    </w:p>
    <w:p w14:paraId="12E1221F" w14:textId="77777777" w:rsidR="00404321" w:rsidRDefault="0020388E">
      <w:pPr>
        <w:numPr>
          <w:ilvl w:val="2"/>
          <w:numId w:val="8"/>
        </w:numPr>
        <w:spacing w:before="100" w:beforeAutospacing="1" w:after="100" w:afterAutospacing="1"/>
        <w:rPr>
          <w:rFonts w:eastAsia="Times New Roman"/>
        </w:rPr>
      </w:pPr>
      <w:r>
        <w:rPr>
          <w:rStyle w:val="Strong"/>
          <w:rFonts w:eastAsia="Times New Roman"/>
        </w:rPr>
        <w:t>IRS Format (TAP)</w:t>
      </w:r>
      <w:r>
        <w:rPr>
          <w:rFonts w:eastAsia="Times New Roman"/>
        </w:rPr>
        <w:t xml:space="preserve"> is the output file used to generate the TAP file for IRS submission.</w:t>
      </w:r>
    </w:p>
    <w:p w14:paraId="61E6CA0A" w14:textId="77777777" w:rsidR="00404321" w:rsidRDefault="0020388E">
      <w:pPr>
        <w:numPr>
          <w:ilvl w:val="1"/>
          <w:numId w:val="8"/>
        </w:numPr>
        <w:spacing w:before="100" w:beforeAutospacing="1" w:after="100" w:afterAutospacing="1"/>
        <w:rPr>
          <w:rFonts w:eastAsia="Times New Roman"/>
        </w:rPr>
      </w:pPr>
      <w:r>
        <w:rPr>
          <w:rFonts w:eastAsia="Times New Roman"/>
        </w:rPr>
        <w:t>Can select specific vendors or leave blank to include all vendors.</w:t>
      </w:r>
    </w:p>
    <w:p w14:paraId="6DE1C61C" w14:textId="77777777" w:rsidR="00404321" w:rsidRDefault="0020388E">
      <w:pPr>
        <w:numPr>
          <w:ilvl w:val="1"/>
          <w:numId w:val="8"/>
        </w:numPr>
        <w:spacing w:before="100" w:beforeAutospacing="1" w:after="100" w:afterAutospacing="1"/>
        <w:rPr>
          <w:rFonts w:eastAsia="Times New Roman"/>
        </w:rPr>
      </w:pPr>
      <w:r>
        <w:rPr>
          <w:rStyle w:val="Strong"/>
          <w:rFonts w:eastAsia="Times New Roman"/>
        </w:rPr>
        <w:t>Output File Name</w:t>
      </w:r>
      <w:r>
        <w:rPr>
          <w:rFonts w:eastAsia="Times New Roman"/>
        </w:rPr>
        <w:t xml:space="preserve"> is pulling the information entered under CORE/Organization but can be modified.  </w:t>
      </w:r>
    </w:p>
    <w:p w14:paraId="097A1045" w14:textId="0A7E74B7" w:rsidR="00404321" w:rsidRDefault="0020388E">
      <w:pPr>
        <w:numPr>
          <w:ilvl w:val="1"/>
          <w:numId w:val="8"/>
        </w:numPr>
        <w:spacing w:before="100" w:beforeAutospacing="1" w:after="100" w:afterAutospacing="1"/>
        <w:rPr>
          <w:rFonts w:eastAsia="Times New Roman"/>
        </w:rPr>
      </w:pPr>
      <w:r>
        <w:rPr>
          <w:rFonts w:eastAsia="Times New Roman"/>
        </w:rPr>
        <w:t xml:space="preserve">System defaults to being </w:t>
      </w:r>
      <w:proofErr w:type="spellStart"/>
      <w:r>
        <w:rPr>
          <w:rFonts w:eastAsia="Times New Roman"/>
        </w:rPr>
        <w:t>checkmarked</w:t>
      </w:r>
      <w:proofErr w:type="spellEnd"/>
      <w:r>
        <w:rPr>
          <w:rFonts w:eastAsia="Times New Roman"/>
        </w:rPr>
        <w:t xml:space="preserve"> to exclude vendors with no tax ID.  If desired, uncheck to </w:t>
      </w:r>
      <w:r w:rsidR="00CD38F9">
        <w:rPr>
          <w:rFonts w:eastAsia="Times New Roman"/>
        </w:rPr>
        <w:t>In</w:t>
      </w:r>
      <w:r>
        <w:rPr>
          <w:rFonts w:eastAsia="Times New Roman"/>
        </w:rPr>
        <w:t>clude Vendors with No Tax ID.</w:t>
      </w:r>
    </w:p>
    <w:p w14:paraId="2ACED05B" w14:textId="77777777" w:rsidR="00404321" w:rsidRDefault="0020388E">
      <w:pPr>
        <w:numPr>
          <w:ilvl w:val="1"/>
          <w:numId w:val="8"/>
        </w:numPr>
        <w:spacing w:before="100" w:beforeAutospacing="1" w:after="100" w:afterAutospacing="1"/>
        <w:rPr>
          <w:rFonts w:eastAsia="Times New Roman"/>
        </w:rPr>
      </w:pPr>
      <w:r>
        <w:rPr>
          <w:rStyle w:val="Strong"/>
          <w:rFonts w:eastAsia="Times New Roman"/>
        </w:rPr>
        <w:t>Review Organization data:</w:t>
      </w:r>
      <w:r>
        <w:rPr>
          <w:rFonts w:eastAsia="Times New Roman"/>
        </w:rPr>
        <w:t xml:space="preserve">   Federal TIN, Name, Address, Phone </w:t>
      </w:r>
    </w:p>
    <w:p w14:paraId="5B1BE9C1" w14:textId="77777777" w:rsidR="00404321" w:rsidRDefault="0020388E">
      <w:pPr>
        <w:numPr>
          <w:ilvl w:val="1"/>
          <w:numId w:val="8"/>
        </w:numPr>
        <w:spacing w:before="100" w:beforeAutospacing="1" w:after="100" w:afterAutospacing="1"/>
        <w:rPr>
          <w:rFonts w:eastAsia="Times New Roman"/>
        </w:rPr>
      </w:pPr>
      <w:proofErr w:type="spellStart"/>
      <w:r>
        <w:rPr>
          <w:rStyle w:val="Strong"/>
          <w:rFonts w:eastAsia="Times New Roman"/>
        </w:rPr>
        <w:t>Submisstion</w:t>
      </w:r>
      <w:proofErr w:type="spellEnd"/>
      <w:r>
        <w:rPr>
          <w:rStyle w:val="Strong"/>
          <w:rFonts w:eastAsia="Times New Roman"/>
        </w:rPr>
        <w:t xml:space="preserve"> Type</w:t>
      </w:r>
      <w:r>
        <w:rPr>
          <w:rFonts w:eastAsia="Times New Roman"/>
        </w:rPr>
        <w:t>:  Original</w:t>
      </w:r>
    </w:p>
    <w:p w14:paraId="58E381E1" w14:textId="77777777" w:rsidR="00404321" w:rsidRDefault="0020388E">
      <w:pPr>
        <w:numPr>
          <w:ilvl w:val="1"/>
          <w:numId w:val="8"/>
        </w:numPr>
        <w:spacing w:before="100" w:beforeAutospacing="1" w:after="100" w:afterAutospacing="1"/>
        <w:rPr>
          <w:rFonts w:eastAsia="Times New Roman"/>
        </w:rPr>
      </w:pPr>
      <w:r>
        <w:rPr>
          <w:rFonts w:eastAsia="Times New Roman"/>
        </w:rPr>
        <w:t xml:space="preserve">Click on </w:t>
      </w:r>
      <w:r>
        <w:rPr>
          <w:rStyle w:val="Strong"/>
          <w:rFonts w:eastAsia="Times New Roman"/>
        </w:rPr>
        <w:t>Print 1099 Report </w:t>
      </w:r>
      <w:r>
        <w:rPr>
          <w:rFonts w:eastAsia="Times New Roman"/>
        </w:rPr>
        <w:t xml:space="preserve">to generate a report in PDF format for review both active and inactive vendors. </w:t>
      </w:r>
    </w:p>
    <w:p w14:paraId="2AFA7CBE" w14:textId="30504F46" w:rsidR="00404321" w:rsidRDefault="0020388E">
      <w:pPr>
        <w:numPr>
          <w:ilvl w:val="2"/>
          <w:numId w:val="8"/>
        </w:numPr>
        <w:spacing w:before="100" w:beforeAutospacing="1" w:after="100" w:afterAutospacing="1"/>
        <w:rPr>
          <w:rFonts w:eastAsia="Times New Roman"/>
        </w:rPr>
      </w:pPr>
      <w:r>
        <w:rPr>
          <w:rFonts w:eastAsia="Times New Roman"/>
        </w:rPr>
        <w:t>Generates 1099-NEC.PDF if the box '1099-NEC' is checked under Type of Return.</w:t>
      </w:r>
    </w:p>
    <w:p w14:paraId="66903CFE" w14:textId="77777777" w:rsidR="00404321" w:rsidRDefault="0020388E">
      <w:pPr>
        <w:numPr>
          <w:ilvl w:val="2"/>
          <w:numId w:val="8"/>
        </w:numPr>
        <w:spacing w:before="100" w:beforeAutospacing="1" w:after="100" w:afterAutospacing="1"/>
        <w:rPr>
          <w:rFonts w:eastAsia="Times New Roman"/>
        </w:rPr>
      </w:pPr>
      <w:r>
        <w:rPr>
          <w:rFonts w:eastAsia="Times New Roman"/>
        </w:rPr>
        <w:t>Generates 1099-MISC.PDF if the box '1099-MISC' is checked under Type of Return.</w:t>
      </w:r>
    </w:p>
    <w:p w14:paraId="4680D06A" w14:textId="77777777" w:rsidR="00404321" w:rsidRDefault="0020388E">
      <w:pPr>
        <w:numPr>
          <w:ilvl w:val="1"/>
          <w:numId w:val="8"/>
        </w:numPr>
        <w:spacing w:before="100" w:beforeAutospacing="1" w:after="100" w:afterAutospacing="1"/>
        <w:rPr>
          <w:rFonts w:eastAsia="Times New Roman"/>
        </w:rPr>
      </w:pPr>
      <w:r>
        <w:rPr>
          <w:rFonts w:eastAsia="Times New Roman"/>
        </w:rPr>
        <w:t xml:space="preserve">Once reviewed for accuracy, click on </w:t>
      </w:r>
      <w:r>
        <w:rPr>
          <w:rStyle w:val="Strong"/>
          <w:rFonts w:eastAsia="Times New Roman"/>
        </w:rPr>
        <w:t>Print 1099 Report</w:t>
      </w:r>
      <w:r>
        <w:rPr>
          <w:rFonts w:eastAsia="Times New Roman"/>
        </w:rPr>
        <w:t xml:space="preserve"> to generate the </w:t>
      </w:r>
      <w:r>
        <w:rPr>
          <w:rStyle w:val="legacy-color-text-default"/>
          <w:rFonts w:eastAsia="Times New Roman"/>
          <w:u w:val="single"/>
        </w:rPr>
        <w:t>final</w:t>
      </w:r>
      <w:r>
        <w:rPr>
          <w:rFonts w:eastAsia="Times New Roman"/>
        </w:rPr>
        <w:t xml:space="preserve"> 1099 Extract Report in PDF format.</w:t>
      </w:r>
    </w:p>
    <w:p w14:paraId="56C83AD0" w14:textId="77777777" w:rsidR="00404321" w:rsidRDefault="0020388E">
      <w:pPr>
        <w:numPr>
          <w:ilvl w:val="1"/>
          <w:numId w:val="8"/>
        </w:numPr>
        <w:spacing w:before="100" w:beforeAutospacing="1" w:after="100" w:afterAutospacing="1"/>
        <w:rPr>
          <w:rFonts w:eastAsia="Times New Roman"/>
        </w:rPr>
      </w:pPr>
      <w:r>
        <w:rPr>
          <w:rFonts w:eastAsia="Times New Roman"/>
        </w:rPr>
        <w:t xml:space="preserve">Click </w:t>
      </w:r>
      <w:r>
        <w:rPr>
          <w:rStyle w:val="Strong"/>
          <w:rFonts w:eastAsia="Times New Roman"/>
        </w:rPr>
        <w:t>Generate</w:t>
      </w:r>
      <w:r>
        <w:rPr>
          <w:rFonts w:eastAsia="Times New Roman"/>
        </w:rPr>
        <w:t xml:space="preserve"> to generate the selected output file types:  </w:t>
      </w:r>
    </w:p>
    <w:p w14:paraId="5A852244" w14:textId="77777777" w:rsidR="00404321" w:rsidRDefault="0020388E">
      <w:pPr>
        <w:numPr>
          <w:ilvl w:val="2"/>
          <w:numId w:val="8"/>
        </w:numPr>
        <w:spacing w:before="100" w:beforeAutospacing="1" w:after="100" w:afterAutospacing="1"/>
        <w:rPr>
          <w:rFonts w:eastAsia="Times New Roman"/>
        </w:rPr>
      </w:pPr>
      <w:r>
        <w:rPr>
          <w:rStyle w:val="Strong"/>
          <w:rFonts w:eastAsia="Times New Roman"/>
        </w:rPr>
        <w:t>IRS Format </w:t>
      </w:r>
      <w:r>
        <w:rPr>
          <w:rFonts w:eastAsia="Times New Roman"/>
        </w:rPr>
        <w:t xml:space="preserve">output file type will generate the district's TAP file used to submit to the IRS and will be stored in the Calendar Year Report Archive.  </w:t>
      </w:r>
    </w:p>
    <w:p w14:paraId="40806956" w14:textId="00C9FD69" w:rsidR="00404321" w:rsidRDefault="0020388E">
      <w:pPr>
        <w:numPr>
          <w:ilvl w:val="2"/>
          <w:numId w:val="8"/>
        </w:numPr>
        <w:spacing w:before="100" w:beforeAutospacing="1" w:after="100" w:afterAutospacing="1"/>
        <w:rPr>
          <w:rFonts w:eastAsia="Times New Roman"/>
        </w:rPr>
      </w:pPr>
      <w:r>
        <w:rPr>
          <w:rStyle w:val="Strong"/>
          <w:rFonts w:eastAsia="Times New Roman"/>
        </w:rPr>
        <w:t>XML Format</w:t>
      </w:r>
      <w:r>
        <w:rPr>
          <w:rFonts w:eastAsia="Times New Roman"/>
        </w:rPr>
        <w:t xml:space="preserve"> output file type will generate an .XML file to be used by </w:t>
      </w:r>
      <w:r w:rsidR="00295EED">
        <w:rPr>
          <w:rFonts w:eastAsia="Times New Roman"/>
        </w:rPr>
        <w:t>ACCESS</w:t>
      </w:r>
      <w:r>
        <w:rPr>
          <w:rFonts w:eastAsia="Times New Roman"/>
        </w:rPr>
        <w:t xml:space="preserve"> to print the 1099s and will be stored in the Calendar Year Report Archive.</w:t>
      </w:r>
    </w:p>
    <w:p w14:paraId="1955F1E5" w14:textId="52BB3D97" w:rsidR="00454640" w:rsidRDefault="00454640" w:rsidP="00454640">
      <w:pPr>
        <w:numPr>
          <w:ilvl w:val="2"/>
          <w:numId w:val="8"/>
        </w:numPr>
        <w:spacing w:before="100" w:beforeAutospacing="1" w:after="100" w:afterAutospacing="1"/>
        <w:rPr>
          <w:rFonts w:eastAsia="Times New Roman"/>
        </w:rPr>
      </w:pPr>
      <w:r>
        <w:rPr>
          <w:rStyle w:val="Strong"/>
          <w:rFonts w:eastAsia="Times New Roman"/>
        </w:rPr>
        <w:t xml:space="preserve">Both files will need to be sent to ACCESS through the secure site </w:t>
      </w:r>
      <w:hyperlink r:id="rId11" w:history="1">
        <w:r w:rsidR="00295EED" w:rsidRPr="008D4513">
          <w:rPr>
            <w:rStyle w:val="Hyperlink"/>
            <w:rFonts w:eastAsia="Times New Roman"/>
          </w:rPr>
          <w:t>https://secure.access-k12.org/login</w:t>
        </w:r>
      </w:hyperlink>
      <w:r w:rsidR="00295EED">
        <w:rPr>
          <w:rStyle w:val="Strong"/>
          <w:rFonts w:eastAsia="Times New Roman"/>
        </w:rPr>
        <w:t xml:space="preserve"> </w:t>
      </w:r>
    </w:p>
    <w:p w14:paraId="112D9604" w14:textId="77777777" w:rsidR="00493F08" w:rsidRPr="009E4E2B" w:rsidRDefault="00493F08" w:rsidP="00493F08">
      <w:pPr>
        <w:pStyle w:val="NormalWeb"/>
        <w:jc w:val="center"/>
        <w:rPr>
          <w:b/>
          <w:color w:val="0000FF"/>
          <w:sz w:val="28"/>
          <w:szCs w:val="28"/>
        </w:rPr>
      </w:pPr>
      <w:r>
        <w:rPr>
          <w:rStyle w:val="legacy-color-text-default"/>
          <w:b/>
          <w:color w:val="0000FF"/>
          <w:sz w:val="28"/>
          <w:szCs w:val="28"/>
        </w:rPr>
        <w:t>Once</w:t>
      </w:r>
      <w:r w:rsidRPr="009E4E2B">
        <w:rPr>
          <w:rStyle w:val="legacy-color-text-default"/>
          <w:b/>
          <w:color w:val="0000FF"/>
          <w:sz w:val="28"/>
          <w:szCs w:val="28"/>
        </w:rPr>
        <w:t xml:space="preserve"> all above steps are performed </w:t>
      </w:r>
      <w:r>
        <w:rPr>
          <w:rStyle w:val="legacy-color-text-default"/>
          <w:b/>
          <w:color w:val="0000FF"/>
          <w:sz w:val="28"/>
          <w:szCs w:val="28"/>
        </w:rPr>
        <w:t>and both XML and TAP files are complete</w:t>
      </w:r>
      <w:r w:rsidRPr="009E4E2B">
        <w:rPr>
          <w:rStyle w:val="legacy-color-text-default"/>
          <w:b/>
          <w:color w:val="0000FF"/>
          <w:sz w:val="28"/>
          <w:szCs w:val="28"/>
        </w:rPr>
        <w:t>, you may proceed with the next step.</w:t>
      </w:r>
    </w:p>
    <w:p w14:paraId="1CE0D74B" w14:textId="77777777" w:rsidR="00404321" w:rsidRDefault="0020388E">
      <w:pPr>
        <w:numPr>
          <w:ilvl w:val="0"/>
          <w:numId w:val="8"/>
        </w:numPr>
        <w:spacing w:before="100" w:beforeAutospacing="1" w:after="100" w:afterAutospacing="1"/>
        <w:rPr>
          <w:rFonts w:eastAsia="Times New Roman"/>
        </w:rPr>
      </w:pPr>
      <w:r>
        <w:rPr>
          <w:rStyle w:val="legacy-color-text-default"/>
          <w:rFonts w:eastAsia="Times New Roman"/>
        </w:rPr>
        <w:t>To close the month and calendar year, under the Core menu, click on Posting Periods.</w:t>
      </w:r>
      <w:r>
        <w:rPr>
          <w:rFonts w:eastAsia="Times New Roman"/>
        </w:rPr>
        <w:t xml:space="preserve"> </w:t>
      </w:r>
    </w:p>
    <w:p w14:paraId="78B028CA" w14:textId="77777777" w:rsidR="00404321" w:rsidRDefault="0020388E">
      <w:pPr>
        <w:numPr>
          <w:ilvl w:val="1"/>
          <w:numId w:val="8"/>
        </w:numPr>
        <w:spacing w:before="100" w:beforeAutospacing="1" w:after="100" w:afterAutospacing="1"/>
        <w:rPr>
          <w:rFonts w:eastAsia="Times New Roman"/>
        </w:rPr>
      </w:pPr>
      <w:r>
        <w:rPr>
          <w:rStyle w:val="legacy-color-text-default"/>
          <w:rFonts w:eastAsia="Times New Roman"/>
        </w:rPr>
        <w:t>Click on </w:t>
      </w:r>
      <w:r>
        <w:rPr>
          <w:rFonts w:eastAsia="Times New Roman"/>
          <w:noProof/>
        </w:rPr>
        <w:drawing>
          <wp:inline distT="0" distB="0" distL="0" distR="0" wp14:anchorId="475D66B2" wp14:editId="65398823">
            <wp:extent cx="304800" cy="254000"/>
            <wp:effectExtent l="0" t="0" r="0" b="0"/>
            <wp:docPr id="2" name="Picture 2" descr="C:\87669e18be344a1986d5adb2f103cb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87669e18be344a1986d5adb2f103cbb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254000"/>
                    </a:xfrm>
                    <a:prstGeom prst="rect">
                      <a:avLst/>
                    </a:prstGeom>
                    <a:noFill/>
                    <a:ln>
                      <a:noFill/>
                    </a:ln>
                  </pic:spPr>
                </pic:pic>
              </a:graphicData>
            </a:graphic>
          </wp:inline>
        </w:drawing>
      </w:r>
      <w:r>
        <w:rPr>
          <w:rStyle w:val="legacy-color-text-default"/>
          <w:rFonts w:eastAsia="Times New Roman"/>
        </w:rPr>
        <w:t> if you would like to 'Close' the current period.</w:t>
      </w:r>
    </w:p>
    <w:p w14:paraId="1919D7B4" w14:textId="77777777" w:rsidR="00404321" w:rsidRDefault="0020388E">
      <w:pPr>
        <w:numPr>
          <w:ilvl w:val="1"/>
          <w:numId w:val="8"/>
        </w:numPr>
        <w:spacing w:before="100" w:beforeAutospacing="1" w:after="100" w:afterAutospacing="1"/>
        <w:rPr>
          <w:rFonts w:eastAsia="Times New Roman"/>
        </w:rPr>
      </w:pPr>
      <w:r>
        <w:rPr>
          <w:rStyle w:val="legacy-color-text-default"/>
          <w:rFonts w:eastAsia="Times New Roman"/>
        </w:rPr>
        <w:t>The Monthly Archive Report bundle will automatically run when the Posting Period is closed.</w:t>
      </w:r>
    </w:p>
    <w:p w14:paraId="44C338E9" w14:textId="106B1944" w:rsidR="00A90271" w:rsidRDefault="0020388E" w:rsidP="00544308">
      <w:pPr>
        <w:numPr>
          <w:ilvl w:val="1"/>
          <w:numId w:val="8"/>
        </w:numPr>
        <w:spacing w:before="100" w:beforeAutospacing="1" w:after="100" w:afterAutospacing="1"/>
        <w:rPr>
          <w:rStyle w:val="legacy-color-text-default"/>
          <w:rFonts w:eastAsia="Times New Roman"/>
        </w:rPr>
      </w:pPr>
      <w:r w:rsidRPr="00A90271">
        <w:rPr>
          <w:rStyle w:val="legacy-color-text-default"/>
          <w:rFonts w:eastAsia="Times New Roman"/>
        </w:rPr>
        <w:t>The Calendar Year Report bundle will automatically run when the December Posting Period is closed.  </w:t>
      </w:r>
    </w:p>
    <w:p w14:paraId="74A5ACEF" w14:textId="77777777" w:rsidR="00A90271" w:rsidRPr="00A90271" w:rsidRDefault="00A90271" w:rsidP="00A90271">
      <w:pPr>
        <w:pStyle w:val="NormalWeb"/>
        <w:numPr>
          <w:ilvl w:val="2"/>
          <w:numId w:val="8"/>
        </w:numPr>
        <w:rPr>
          <w:b/>
          <w:bCs/>
        </w:rPr>
      </w:pPr>
      <w:r w:rsidRPr="00A90271">
        <w:rPr>
          <w:b/>
          <w:bCs/>
        </w:rPr>
        <w:t xml:space="preserve">If there are custom Report Bundles scheduled to run on the </w:t>
      </w:r>
      <w:proofErr w:type="spellStart"/>
      <w:r w:rsidRPr="00A90271">
        <w:rPr>
          <w:b/>
          <w:bCs/>
        </w:rPr>
        <w:t>PostingPeriodCloseCompleted</w:t>
      </w:r>
      <w:proofErr w:type="spellEnd"/>
      <w:r w:rsidRPr="00A90271">
        <w:rPr>
          <w:b/>
          <w:bCs/>
        </w:rPr>
        <w:t xml:space="preserve"> or the </w:t>
      </w:r>
      <w:proofErr w:type="spellStart"/>
      <w:r w:rsidRPr="00A90271">
        <w:rPr>
          <w:b/>
          <w:bCs/>
        </w:rPr>
        <w:t>CalendarPeriodCloseCompleted</w:t>
      </w:r>
      <w:proofErr w:type="spellEnd"/>
      <w:r w:rsidRPr="00A90271">
        <w:rPr>
          <w:b/>
          <w:bCs/>
        </w:rPr>
        <w:t xml:space="preserve"> event, users should allow the custom Report Bundles to complete before changing the current posting period to the new period.</w:t>
      </w:r>
    </w:p>
    <w:p w14:paraId="0FF04CA2" w14:textId="513DA3D6" w:rsidR="00404321" w:rsidRPr="00A90271" w:rsidRDefault="0020388E" w:rsidP="00544308">
      <w:pPr>
        <w:numPr>
          <w:ilvl w:val="1"/>
          <w:numId w:val="8"/>
        </w:numPr>
        <w:spacing w:before="100" w:beforeAutospacing="1" w:after="100" w:afterAutospacing="1"/>
        <w:rPr>
          <w:rFonts w:eastAsia="Times New Roman"/>
        </w:rPr>
      </w:pPr>
      <w:r w:rsidRPr="00A90271">
        <w:rPr>
          <w:rStyle w:val="legacy-color-text-default"/>
          <w:rFonts w:eastAsia="Times New Roman"/>
        </w:rPr>
        <w:t>Click on </w:t>
      </w:r>
      <w:r>
        <w:rPr>
          <w:rFonts w:eastAsia="Times New Roman"/>
          <w:noProof/>
        </w:rPr>
        <w:drawing>
          <wp:inline distT="0" distB="0" distL="0" distR="0" wp14:anchorId="6B289FDF" wp14:editId="108A2334">
            <wp:extent cx="457200" cy="203200"/>
            <wp:effectExtent l="0" t="0" r="0" b="6350"/>
            <wp:docPr id="3" name="Picture 3" descr="C:\147a9277811aa3c92a92d5d40c797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147a9277811aa3c92a92d5d40c7972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203200"/>
                    </a:xfrm>
                    <a:prstGeom prst="rect">
                      <a:avLst/>
                    </a:prstGeom>
                    <a:noFill/>
                    <a:ln>
                      <a:noFill/>
                    </a:ln>
                  </pic:spPr>
                </pic:pic>
              </a:graphicData>
            </a:graphic>
          </wp:inline>
        </w:drawing>
      </w:r>
      <w:r w:rsidRPr="00A90271">
        <w:rPr>
          <w:rStyle w:val="legacy-color-text-default"/>
          <w:rFonts w:eastAsia="Times New Roman"/>
        </w:rPr>
        <w:t> to create the new posting period.  Select the month, enter the calendar year and checkmark the 'current' box to make the new posting period the current period.  </w:t>
      </w:r>
    </w:p>
    <w:p w14:paraId="449954F5" w14:textId="77777777" w:rsidR="000F1AD2" w:rsidRDefault="0020388E" w:rsidP="00493F08">
      <w:pPr>
        <w:spacing w:before="100" w:beforeAutospacing="1" w:after="240"/>
        <w:ind w:left="720"/>
        <w:rPr>
          <w:rStyle w:val="legacy-color-text-default"/>
          <w:rFonts w:eastAsia="Times New Roman"/>
          <w:b/>
          <w:sz w:val="36"/>
          <w:szCs w:val="36"/>
        </w:rPr>
      </w:pPr>
      <w:r w:rsidRPr="00493F08">
        <w:rPr>
          <w:rStyle w:val="legacy-color-text-default"/>
          <w:rFonts w:eastAsia="Times New Roman"/>
          <w:b/>
          <w:sz w:val="36"/>
          <w:szCs w:val="36"/>
        </w:rPr>
        <w:t>You are now closed for the month and calendar year.</w:t>
      </w:r>
    </w:p>
    <w:p w14:paraId="1346B362" w14:textId="77777777" w:rsidR="00404321" w:rsidRPr="00493F08" w:rsidRDefault="0020388E" w:rsidP="00493F08">
      <w:pPr>
        <w:pStyle w:val="Title1"/>
        <w:jc w:val="center"/>
        <w:divId w:val="547691519"/>
        <w:rPr>
          <w:b/>
          <w:i/>
          <w:sz w:val="32"/>
          <w:szCs w:val="32"/>
        </w:rPr>
      </w:pPr>
      <w:r w:rsidRPr="00493F08">
        <w:rPr>
          <w:b/>
          <w:i/>
          <w:sz w:val="32"/>
          <w:szCs w:val="32"/>
        </w:rPr>
        <w:t>Reminder</w:t>
      </w:r>
    </w:p>
    <w:p w14:paraId="1A5C67FB" w14:textId="77777777" w:rsidR="00404321" w:rsidRPr="00493F08" w:rsidRDefault="0020388E">
      <w:pPr>
        <w:pStyle w:val="NormalWeb"/>
        <w:divId w:val="787090170"/>
        <w:rPr>
          <w:b/>
          <w:i/>
          <w:sz w:val="32"/>
          <w:szCs w:val="32"/>
        </w:rPr>
      </w:pPr>
      <w:r w:rsidRPr="00493F08">
        <w:rPr>
          <w:b/>
          <w:i/>
          <w:sz w:val="32"/>
          <w:szCs w:val="32"/>
        </w:rPr>
        <w:t>After the new posting period is open, please review any Pending Transactions in Transactions&gt;Pending Transactions that are to be posted in the new period</w:t>
      </w:r>
      <w:r w:rsidR="00493F08">
        <w:rPr>
          <w:b/>
          <w:i/>
          <w:sz w:val="32"/>
          <w:szCs w:val="32"/>
        </w:rPr>
        <w:t xml:space="preserve"> and </w:t>
      </w:r>
      <w:r w:rsidRPr="00493F08">
        <w:rPr>
          <w:b/>
          <w:i/>
          <w:sz w:val="32"/>
          <w:szCs w:val="32"/>
        </w:rPr>
        <w:t>post accordingly.</w:t>
      </w:r>
    </w:p>
    <w:p w14:paraId="660DD68E" w14:textId="77777777" w:rsidR="0020388E" w:rsidRDefault="0020388E">
      <w:pPr>
        <w:pStyle w:val="NormalWeb"/>
      </w:pPr>
    </w:p>
    <w:sectPr w:rsidR="002038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2B2"/>
    <w:multiLevelType w:val="multilevel"/>
    <w:tmpl w:val="A126D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90064"/>
    <w:multiLevelType w:val="multilevel"/>
    <w:tmpl w:val="6B30A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EA63E3"/>
    <w:multiLevelType w:val="multilevel"/>
    <w:tmpl w:val="869E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4B7CDF"/>
    <w:multiLevelType w:val="multilevel"/>
    <w:tmpl w:val="7DA47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6475CD"/>
    <w:multiLevelType w:val="multilevel"/>
    <w:tmpl w:val="F5E63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380D61"/>
    <w:multiLevelType w:val="multilevel"/>
    <w:tmpl w:val="E21E3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A509FB"/>
    <w:multiLevelType w:val="multilevel"/>
    <w:tmpl w:val="37C02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C45B0E"/>
    <w:multiLevelType w:val="multilevel"/>
    <w:tmpl w:val="D9785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0D0E06"/>
    <w:multiLevelType w:val="multilevel"/>
    <w:tmpl w:val="420A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8"/>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1A6"/>
    <w:rsid w:val="000F1AD2"/>
    <w:rsid w:val="0020388E"/>
    <w:rsid w:val="00295EED"/>
    <w:rsid w:val="00404321"/>
    <w:rsid w:val="00454640"/>
    <w:rsid w:val="00493F08"/>
    <w:rsid w:val="004A51A6"/>
    <w:rsid w:val="004E7970"/>
    <w:rsid w:val="005044E6"/>
    <w:rsid w:val="00980F4B"/>
    <w:rsid w:val="009E4E2B"/>
    <w:rsid w:val="00A90271"/>
    <w:rsid w:val="00BE4F52"/>
    <w:rsid w:val="00BF0EAC"/>
    <w:rsid w:val="00C73731"/>
    <w:rsid w:val="00CD38F9"/>
    <w:rsid w:val="00D10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BA322"/>
  <w15:chartTrackingRefBased/>
  <w15:docId w15:val="{10882FF0-52F0-449D-B03D-B6A6837B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aui-icon">
    <w:name w:val="aui-icon"/>
    <w:basedOn w:val="DefaultParagraphFont"/>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basedOn w:val="DefaultParagraphFont"/>
    <w:uiPriority w:val="20"/>
    <w:qFormat/>
    <w:rPr>
      <w:i/>
      <w:iCs/>
    </w:rPr>
  </w:style>
  <w:style w:type="character" w:customStyle="1" w:styleId="legacy-color-text-blue5">
    <w:name w:val="legacy-color-text-blue5"/>
    <w:basedOn w:val="DefaultParagraphFont"/>
  </w:style>
  <w:style w:type="character" w:styleId="Strong">
    <w:name w:val="Strong"/>
    <w:basedOn w:val="DefaultParagraphFont"/>
    <w:uiPriority w:val="22"/>
    <w:qFormat/>
    <w:rPr>
      <w:b/>
      <w:bCs/>
    </w:rPr>
  </w:style>
  <w:style w:type="character" w:customStyle="1" w:styleId="legacy-color-text-blue4">
    <w:name w:val="legacy-color-text-blue4"/>
    <w:basedOn w:val="DefaultParagraphFont"/>
  </w:style>
  <w:style w:type="character" w:customStyle="1" w:styleId="legacy-color-text-default">
    <w:name w:val="legacy-color-text-default"/>
    <w:basedOn w:val="DefaultParagraphFont"/>
  </w:style>
  <w:style w:type="paragraph" w:customStyle="1" w:styleId="auto-cursor-target">
    <w:name w:val="auto-cursor-target"/>
    <w:basedOn w:val="Normal"/>
    <w:pPr>
      <w:spacing w:before="100" w:beforeAutospacing="1" w:after="100" w:afterAutospacing="1"/>
    </w:pPr>
  </w:style>
  <w:style w:type="character" w:customStyle="1" w:styleId="confluence-embedded-file-wrapper">
    <w:name w:val="confluence-embedded-file-wrapper"/>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legacy-color-text-blue3">
    <w:name w:val="legacy-color-text-blue3"/>
    <w:basedOn w:val="DefaultParagraphFont"/>
  </w:style>
  <w:style w:type="character" w:customStyle="1" w:styleId="legacy-color-text-red2">
    <w:name w:val="legacy-color-text-red2"/>
    <w:basedOn w:val="DefaultParagraphFont"/>
  </w:style>
  <w:style w:type="paragraph" w:customStyle="1" w:styleId="Title1">
    <w:name w:val="Title1"/>
    <w:basedOn w:val="Normal"/>
    <w:pPr>
      <w:spacing w:before="100" w:beforeAutospacing="1" w:after="100" w:afterAutospacing="1"/>
    </w:pPr>
  </w:style>
  <w:style w:type="character" w:styleId="UnresolvedMention">
    <w:name w:val="Unresolved Mention"/>
    <w:basedOn w:val="DefaultParagraphFont"/>
    <w:uiPriority w:val="99"/>
    <w:semiHidden/>
    <w:unhideWhenUsed/>
    <w:rsid w:val="00295EED"/>
    <w:rPr>
      <w:color w:val="605E5C"/>
      <w:shd w:val="clear" w:color="auto" w:fill="E1DFDD"/>
    </w:rPr>
  </w:style>
  <w:style w:type="paragraph" w:styleId="ListParagraph">
    <w:name w:val="List Paragraph"/>
    <w:basedOn w:val="Normal"/>
    <w:uiPriority w:val="34"/>
    <w:qFormat/>
    <w:rsid w:val="000F1A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06852">
      <w:marLeft w:val="0"/>
      <w:marRight w:val="0"/>
      <w:marTop w:val="0"/>
      <w:marBottom w:val="0"/>
      <w:divBdr>
        <w:top w:val="none" w:sz="0" w:space="0" w:color="auto"/>
        <w:left w:val="none" w:sz="0" w:space="0" w:color="auto"/>
        <w:bottom w:val="none" w:sz="0" w:space="0" w:color="auto"/>
        <w:right w:val="none" w:sz="0" w:space="0" w:color="auto"/>
      </w:divBdr>
      <w:divsChild>
        <w:div w:id="1576626007">
          <w:marLeft w:val="0"/>
          <w:marRight w:val="0"/>
          <w:marTop w:val="0"/>
          <w:marBottom w:val="0"/>
          <w:divBdr>
            <w:top w:val="none" w:sz="0" w:space="0" w:color="auto"/>
            <w:left w:val="none" w:sz="0" w:space="0" w:color="auto"/>
            <w:bottom w:val="none" w:sz="0" w:space="0" w:color="auto"/>
            <w:right w:val="none" w:sz="0" w:space="0" w:color="auto"/>
          </w:divBdr>
        </w:div>
      </w:divsChild>
    </w:div>
    <w:div w:id="547691519">
      <w:marLeft w:val="0"/>
      <w:marRight w:val="0"/>
      <w:marTop w:val="0"/>
      <w:marBottom w:val="0"/>
      <w:divBdr>
        <w:top w:val="none" w:sz="0" w:space="0" w:color="auto"/>
        <w:left w:val="none" w:sz="0" w:space="0" w:color="auto"/>
        <w:bottom w:val="none" w:sz="0" w:space="0" w:color="auto"/>
        <w:right w:val="none" w:sz="0" w:space="0" w:color="auto"/>
      </w:divBdr>
      <w:divsChild>
        <w:div w:id="787090170">
          <w:marLeft w:val="0"/>
          <w:marRight w:val="0"/>
          <w:marTop w:val="0"/>
          <w:marBottom w:val="0"/>
          <w:divBdr>
            <w:top w:val="none" w:sz="0" w:space="0" w:color="auto"/>
            <w:left w:val="none" w:sz="0" w:space="0" w:color="auto"/>
            <w:bottom w:val="none" w:sz="0" w:space="0" w:color="auto"/>
            <w:right w:val="none" w:sz="0" w:space="0" w:color="auto"/>
          </w:divBdr>
        </w:div>
      </w:divsChild>
    </w:div>
    <w:div w:id="999775048">
      <w:marLeft w:val="0"/>
      <w:marRight w:val="0"/>
      <w:marTop w:val="0"/>
      <w:marBottom w:val="0"/>
      <w:divBdr>
        <w:top w:val="none" w:sz="0" w:space="0" w:color="auto"/>
        <w:left w:val="none" w:sz="0" w:space="0" w:color="auto"/>
        <w:bottom w:val="none" w:sz="0" w:space="0" w:color="auto"/>
        <w:right w:val="none" w:sz="0" w:space="0" w:color="auto"/>
      </w:divBdr>
      <w:divsChild>
        <w:div w:id="1763916886">
          <w:marLeft w:val="0"/>
          <w:marRight w:val="0"/>
          <w:marTop w:val="0"/>
          <w:marBottom w:val="0"/>
          <w:divBdr>
            <w:top w:val="none" w:sz="0" w:space="0" w:color="auto"/>
            <w:left w:val="none" w:sz="0" w:space="0" w:color="auto"/>
            <w:bottom w:val="none" w:sz="0" w:space="0" w:color="auto"/>
            <w:right w:val="none" w:sz="0" w:space="0" w:color="auto"/>
          </w:divBdr>
        </w:div>
      </w:divsChild>
    </w:div>
    <w:div w:id="1005668454">
      <w:marLeft w:val="0"/>
      <w:marRight w:val="0"/>
      <w:marTop w:val="0"/>
      <w:marBottom w:val="0"/>
      <w:divBdr>
        <w:top w:val="none" w:sz="0" w:space="0" w:color="auto"/>
        <w:left w:val="none" w:sz="0" w:space="0" w:color="auto"/>
        <w:bottom w:val="none" w:sz="0" w:space="0" w:color="auto"/>
        <w:right w:val="none" w:sz="0" w:space="0" w:color="auto"/>
      </w:divBdr>
      <w:divsChild>
        <w:div w:id="43139235">
          <w:marLeft w:val="0"/>
          <w:marRight w:val="0"/>
          <w:marTop w:val="0"/>
          <w:marBottom w:val="0"/>
          <w:divBdr>
            <w:top w:val="none" w:sz="0" w:space="0" w:color="auto"/>
            <w:left w:val="none" w:sz="0" w:space="0" w:color="auto"/>
            <w:bottom w:val="none" w:sz="0" w:space="0" w:color="auto"/>
            <w:right w:val="none" w:sz="0" w:space="0" w:color="auto"/>
          </w:divBdr>
        </w:div>
      </w:divsChild>
    </w:div>
    <w:div w:id="1409035630">
      <w:marLeft w:val="0"/>
      <w:marRight w:val="0"/>
      <w:marTop w:val="0"/>
      <w:marBottom w:val="0"/>
      <w:divBdr>
        <w:top w:val="none" w:sz="0" w:space="0" w:color="auto"/>
        <w:left w:val="none" w:sz="0" w:space="0" w:color="auto"/>
        <w:bottom w:val="none" w:sz="0" w:space="0" w:color="auto"/>
        <w:right w:val="none" w:sz="0" w:space="0" w:color="auto"/>
      </w:divBdr>
      <w:divsChild>
        <w:div w:id="1581594159">
          <w:marLeft w:val="0"/>
          <w:marRight w:val="0"/>
          <w:marTop w:val="0"/>
          <w:marBottom w:val="0"/>
          <w:divBdr>
            <w:top w:val="none" w:sz="0" w:space="0" w:color="auto"/>
            <w:left w:val="none" w:sz="0" w:space="0" w:color="auto"/>
            <w:bottom w:val="none" w:sz="0" w:space="0" w:color="auto"/>
            <w:right w:val="none" w:sz="0" w:space="0" w:color="auto"/>
          </w:divBdr>
        </w:div>
      </w:divsChild>
    </w:div>
    <w:div w:id="1740593103">
      <w:marLeft w:val="0"/>
      <w:marRight w:val="0"/>
      <w:marTop w:val="0"/>
      <w:marBottom w:val="0"/>
      <w:divBdr>
        <w:top w:val="none" w:sz="0" w:space="0" w:color="auto"/>
        <w:left w:val="none" w:sz="0" w:space="0" w:color="auto"/>
        <w:bottom w:val="none" w:sz="0" w:space="0" w:color="auto"/>
        <w:right w:val="none" w:sz="0" w:space="0" w:color="auto"/>
      </w:divBdr>
      <w:divsChild>
        <w:div w:id="135391599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wiki\spaces\usasrdoc\pages\3573125\USAS+Calendar+Year+End+Checklist" TargetMode="External"/><Relationship Id="rId13" Type="http://schemas.openxmlformats.org/officeDocument/2006/relationships/image" Target="media/image3.tmp"/><Relationship Id="rId3" Type="http://schemas.openxmlformats.org/officeDocument/2006/relationships/settings" Target="settings.xml"/><Relationship Id="rId7" Type="http://schemas.openxmlformats.org/officeDocument/2006/relationships/hyperlink" Target="https://mcoecn.atlassian.net/wiki/display/usasrdoc/USAS-R+Month+end+Balancing+Checklist" TargetMode="External"/><Relationship Id="rId12" Type="http://schemas.openxmlformats.org/officeDocument/2006/relationships/image" Target="media/image2.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coecn.atlassian.net/wiki/display/usasrdoc/Vendors" TargetMode="External"/><Relationship Id="rId11" Type="http://schemas.openxmlformats.org/officeDocument/2006/relationships/hyperlink" Target="https://secure.access-k12.org/login" TargetMode="External"/><Relationship Id="rId5" Type="http://schemas.openxmlformats.org/officeDocument/2006/relationships/image" Target="media/image1.tmp"/><Relationship Id="rId15" Type="http://schemas.openxmlformats.org/officeDocument/2006/relationships/theme" Target="theme/theme1.xml"/><Relationship Id="rId10" Type="http://schemas.openxmlformats.org/officeDocument/2006/relationships/hyperlink" Target="https://mcoecn.atlassian.net/wiki/display/usasrdoc/Proration+Utility" TargetMode="External"/><Relationship Id="rId4" Type="http://schemas.openxmlformats.org/officeDocument/2006/relationships/webSettings" Target="webSettings.xml"/><Relationship Id="rId9" Type="http://schemas.openxmlformats.org/officeDocument/2006/relationships/hyperlink" Target="https://mcoecn.atlassian.net/wiki/spaces/usasrdoc/pages/3572582/Report+Bundl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USAS Calendar Year End Checklist</vt:lpstr>
    </vt:vector>
  </TitlesOfParts>
  <Company>Hewlett-Packard Company</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USAS Calendar Year End Checklist</dc:title>
  <dc:subject/>
  <dc:creator>Valarie Inboden</dc:creator>
  <cp:keywords/>
  <dc:description/>
  <cp:lastModifiedBy>Valarie Inboden</cp:lastModifiedBy>
  <cp:revision>4</cp:revision>
  <cp:lastPrinted>2024-12-04T15:27:00Z</cp:lastPrinted>
  <dcterms:created xsi:type="dcterms:W3CDTF">2024-11-20T15:59:00Z</dcterms:created>
  <dcterms:modified xsi:type="dcterms:W3CDTF">2024-12-04T15:27:00Z</dcterms:modified>
</cp:coreProperties>
</file>